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7299960</wp:posOffset>
                </wp:positionV>
                <wp:extent cx="1698625" cy="1707515"/>
                <wp:effectExtent l="4445" t="4445" r="11430" b="2159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36295" y="8442960"/>
                          <a:ext cx="1698625" cy="170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4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</w:rPr>
                              <w:t>备注：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15pt;margin-top:574.8pt;height:134.45pt;width:133.75pt;z-index:251640832;mso-width-relative:page;mso-height-relative:page;" fillcolor="#FFFFFF [3201]" filled="t" stroked="t" coordsize="21600,21600" o:gfxdata="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lIg+L2QAAAA0BAAAPAAAAAAAAAAEA&#10;IAAAACIAAABkcnMvZG93bnJldi54bWxQSwECFAAUAAAACACHTuJAg4/aPEcCAAB1BAAADgAAAAAA&#10;AAABACAAAAAo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40"/>
                        </w:rPr>
                      </w:pPr>
                    </w:p>
                    <w:p>
                      <w:pPr>
                        <w:jc w:val="center"/>
                        <w:rPr>
                          <w:sz w:val="28"/>
                          <w:szCs w:val="36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</w:rPr>
                        <w:t>备注：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7286625</wp:posOffset>
                </wp:positionV>
                <wp:extent cx="11573510" cy="1722755"/>
                <wp:effectExtent l="4445" t="4445" r="23495" b="63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7420" y="8714740"/>
                          <a:ext cx="11573510" cy="1722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4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1、固定资产确认条件：家具类批量购置≧20件且单价≧500元，或批量购置&lt;20件且单价≧1000元，在后勤集团房产科办理固定资产登记手续；</w:t>
                            </w:r>
                          </w:p>
                          <w:p>
                            <w:pPr>
                              <w:snapToGrid w:val="0"/>
                              <w:spacing w:line="24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土地、房屋及构筑物类在后勤集团房产科办理固定资产登记手续；</w:t>
                            </w:r>
                          </w:p>
                          <w:p>
                            <w:pPr>
                              <w:snapToGrid w:val="0"/>
                              <w:spacing w:line="24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一般设备（≥1000元）和专用设备（≥1500元）在资产设备处办理登记手续。</w:t>
                            </w:r>
                          </w:p>
                          <w:p>
                            <w:pPr>
                              <w:snapToGrid w:val="0"/>
                              <w:spacing w:line="24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                    符合图书类固定资产确认条件的在图书馆办理固定资产登记手续。</w:t>
                            </w:r>
                          </w:p>
                          <w:p>
                            <w:pPr>
                              <w:snapToGrid w:val="0"/>
                              <w:spacing w:line="240" w:lineRule="atLeast"/>
                              <w:ind w:firstLine="2200" w:firstLineChars="10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（一般设备指办公用的计算机等办公设备、家具、交通工具等；专用设备指：电教设备、分析测试仪器、体育器械等）</w:t>
                            </w:r>
                          </w:p>
                          <w:p>
                            <w:pPr>
                              <w:snapToGrid w:val="0"/>
                              <w:spacing w:line="24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2、科技类科研经费审批：单笔支出≥50万元由科技处负责人审批，单笔支出≥100万元由科研分管校领导审批。</w:t>
                            </w:r>
                          </w:p>
                          <w:p>
                            <w:pPr>
                              <w:snapToGrid w:val="0"/>
                              <w:spacing w:line="24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3、哲社类科研经费审批：单笔支出≥10万元由社科处负责人审批；单笔支出≥30万元由科研分管校领导审批。</w:t>
                            </w:r>
                          </w:p>
                          <w:p>
                            <w:pPr>
                              <w:snapToGrid w:val="0"/>
                              <w:spacing w:line="24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4、专项项目审批：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单笔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支出≥10万元由业务分管校领导审批。（指预算经费、专项经费以及代管经费中财政专项）</w:t>
                            </w:r>
                          </w:p>
                          <w:p>
                            <w:pPr>
                              <w:snapToGrid w:val="0"/>
                              <w:spacing w:line="24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5、财务处审核要求：3万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2"/>
                              </w:rPr>
                              <w:t>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单笔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支出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&lt;30万元由科长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审批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，单笔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支出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≥30万元由主管处长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审批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7.55pt;margin-top:573.75pt;height:135.65pt;width:911.3pt;z-index:251636736;mso-width-relative:page;mso-height-relative:page;" fillcolor="#FFFFFF [3201]" filled="t" stroked="t" coordsize="21600,21600" o:gfxdata="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en8InaAAAADgEAAA8AAAAAAAAA&#10;AQAgAAAAIgAAAGRycy9kb3ducmV2LnhtbFBLAQIUABQAAAAIAIdO4kCchQNkSAIAAHYEAAAOAAAA&#10;AAAAAAEAIAAAACk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1、固定资产确认条件：家具类批量购置≧20件且单价≧500元，或批量购置&lt;20件且单价≧1000元，在后勤集团房产科办理固定资产登记手续；</w:t>
                      </w:r>
                    </w:p>
                    <w:p>
                      <w:pPr>
                        <w:snapToGrid w:val="0"/>
                        <w:spacing w:line="240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土地、房屋及构筑物类在后勤集团房产科办理固定资产登记手续；</w:t>
                      </w:r>
                    </w:p>
                    <w:p>
                      <w:pPr>
                        <w:snapToGrid w:val="0"/>
                        <w:spacing w:line="240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一般设备（≥1000元）和专用设备（≥1500元）在资产设备处办理登记手续。</w:t>
                      </w:r>
                    </w:p>
                    <w:p>
                      <w:pPr>
                        <w:snapToGrid w:val="0"/>
                        <w:spacing w:line="240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                    符合图书类固定资产确认条件的在图书馆办理固定资产登记手续。</w:t>
                      </w:r>
                    </w:p>
                    <w:p>
                      <w:pPr>
                        <w:snapToGrid w:val="0"/>
                        <w:spacing w:line="240" w:lineRule="atLeast"/>
                        <w:ind w:firstLine="2200" w:firstLineChars="100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（一般设备指办公用的计算机等办公设备、家具、交通工具等；专用设备指：电教设备、分析测试仪器、体育器械等）</w:t>
                      </w:r>
                    </w:p>
                    <w:p>
                      <w:pPr>
                        <w:snapToGrid w:val="0"/>
                        <w:spacing w:line="240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2、科技类科研经费审批：单笔支出≥50万元由科技处负责人审批，单笔支出≥100万元由科研分管校领导审批。</w:t>
                      </w:r>
                    </w:p>
                    <w:p>
                      <w:pPr>
                        <w:snapToGrid w:val="0"/>
                        <w:spacing w:line="240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3、哲社类科研经费审批：单笔支出≥10万元由社科处负责人审批；单笔支出≥30万元由科研分管校领导审批。</w:t>
                      </w:r>
                    </w:p>
                    <w:p>
                      <w:pPr>
                        <w:snapToGrid w:val="0"/>
                        <w:spacing w:line="240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4、专项项目审批：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单笔</w:t>
                      </w:r>
                      <w:r>
                        <w:rPr>
                          <w:sz w:val="22"/>
                          <w:szCs w:val="22"/>
                        </w:rPr>
                        <w:t>支出≥10万元由业务分管校领导审批。（指预算经费、专项经费以及代管经费中财政专项）</w:t>
                      </w:r>
                    </w:p>
                    <w:p>
                      <w:pPr>
                        <w:snapToGrid w:val="0"/>
                        <w:spacing w:line="240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5、财务处审核要求：3万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元</w:t>
                      </w:r>
                      <w:r>
                        <w:rPr>
                          <w:rFonts w:hint="eastAsia" w:ascii="宋体" w:hAnsi="宋体" w:eastAsia="宋体" w:cs="宋体"/>
                          <w:sz w:val="22"/>
                          <w:szCs w:val="22"/>
                        </w:rPr>
                        <w:t>≦</w:t>
                      </w:r>
                      <w:r>
                        <w:rPr>
                          <w:sz w:val="22"/>
                          <w:szCs w:val="22"/>
                        </w:rPr>
                        <w:t>单笔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支出</w:t>
                      </w:r>
                      <w:r>
                        <w:rPr>
                          <w:sz w:val="22"/>
                          <w:szCs w:val="22"/>
                        </w:rPr>
                        <w:t>&lt;30万元由科长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审批</w:t>
                      </w:r>
                      <w:r>
                        <w:rPr>
                          <w:sz w:val="22"/>
                          <w:szCs w:val="22"/>
                        </w:rPr>
                        <w:t>，单笔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支出</w:t>
                      </w:r>
                      <w:r>
                        <w:rPr>
                          <w:sz w:val="22"/>
                          <w:szCs w:val="22"/>
                        </w:rPr>
                        <w:t>≥30万元由主管处长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审批</w:t>
                      </w:r>
                      <w:r>
                        <w:rPr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32"/>
        </w:rPr>
        <w:pict>
          <v:shape id="_x0000_s1026" o:spid="_x0000_s1026" o:spt="75" type="#_x0000_t75" style="position:absolute;left:0pt;margin-left:-4.75pt;margin-top:-58.6pt;height:635.1pt;width:1045.55pt;mso-wrap-distance-bottom:0pt;mso-wrap-distance-left:9pt;mso-wrap-distance-right:9pt;mso-wrap-distance-top:0pt;z-index:251680768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f"/>
            <w10:wrap type="square"/>
          </v:shape>
          <o:OLEObject Type="Embed" ProgID="Visio.Drawing.11" ShapeID="_x0000_s1026" DrawAspect="Content" ObjectID="_1468075725" r:id="rId4">
            <o:LockedField>false</o:LockedField>
          </o:OLEObject>
        </w:pict>
      </w:r>
      <w:r>
        <w:br w:type="page"/>
      </w:r>
    </w:p>
    <w:tbl>
      <w:tblPr>
        <w:tblStyle w:val="2"/>
        <w:tblW w:w="209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2287"/>
        <w:gridCol w:w="2862"/>
        <w:gridCol w:w="2456"/>
        <w:gridCol w:w="2081"/>
        <w:gridCol w:w="2081"/>
        <w:gridCol w:w="2183"/>
        <w:gridCol w:w="1854"/>
        <w:gridCol w:w="1873"/>
        <w:gridCol w:w="18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09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2"/>
              <w:tblW w:w="8819" w:type="dxa"/>
              <w:tblInd w:w="63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9"/>
              <w:gridCol w:w="1299"/>
              <w:gridCol w:w="3121"/>
              <w:gridCol w:w="2880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 w:hRule="atLeast"/>
              </w:trPr>
              <w:tc>
                <w:tcPr>
                  <w:tcW w:w="881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8"/>
                    </w:rPr>
                    <w:pict>
                      <v:shape id="_x0000_s1033" o:spid="_x0000_s1033" o:spt="75" type="#_x0000_t75" style="position:absolute;left:0pt;margin-left:486.2pt;margin-top:18.8pt;height:593.4pt;width:580.35pt;z-index:251685888;mso-width-relative:page;mso-height-relative:page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7" o:title=""/>
                        <o:lock v:ext="edit" aspectratio="f"/>
                      </v:shape>
                      <o:OLEObject Type="Embed" ProgID="Visio.Drawing.11" ShapeID="_x0000_s1033" DrawAspect="Content" ObjectID="_1468075726" r:id="rId6">
                        <o:LockedField>false</o:LockedField>
                      </o:OLEObject>
                    </w:pic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24"/>
                      <w:lang w:bidi="ar"/>
                    </w:rPr>
                    <w:t>常用项目编码规则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51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12" w:space="0"/>
                  </w:tcBorders>
                  <w:shd w:val="clear" w:color="auto" w:fill="BDD6EE" w:themeFill="accent1" w:themeFillTint="66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项目类别</w:t>
                  </w:r>
                </w:p>
              </w:tc>
              <w:tc>
                <w:tcPr>
                  <w:tcW w:w="1299" w:type="dxa"/>
                  <w:tcBorders>
                    <w:top w:val="single" w:color="000000" w:sz="8" w:space="0"/>
                    <w:left w:val="single" w:color="000000" w:sz="12" w:space="0"/>
                    <w:bottom w:val="single" w:color="000000" w:sz="8" w:space="0"/>
                    <w:right w:val="single" w:color="000000" w:sz="12" w:space="0"/>
                  </w:tcBorders>
                  <w:shd w:val="clear" w:color="auto" w:fill="BDD6EE" w:themeFill="accent1" w:themeFillTint="66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项目编码</w:t>
                  </w:r>
                </w:p>
              </w:tc>
              <w:tc>
                <w:tcPr>
                  <w:tcW w:w="3121" w:type="dxa"/>
                  <w:tcBorders>
                    <w:top w:val="single" w:color="000000" w:sz="8" w:space="0"/>
                    <w:left w:val="single" w:color="000000" w:sz="12" w:space="0"/>
                    <w:bottom w:val="single" w:color="000000" w:sz="8" w:space="0"/>
                    <w:right w:val="single" w:color="000000" w:sz="12" w:space="0"/>
                  </w:tcBorders>
                  <w:shd w:val="clear" w:color="auto" w:fill="BDD6EE" w:themeFill="accent1" w:themeFillTint="66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经费性质</w:t>
                  </w:r>
                </w:p>
              </w:tc>
              <w:tc>
                <w:tcPr>
                  <w:tcW w:w="2880" w:type="dxa"/>
                  <w:tcBorders>
                    <w:top w:val="single" w:color="000000" w:sz="8" w:space="0"/>
                    <w:left w:val="single" w:color="000000" w:sz="12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BDD6EE" w:themeFill="accent1" w:themeFillTint="66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主管部门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预算类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101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学校人员经费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人力资源部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102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离退休人员经费</w:t>
                  </w:r>
                </w:p>
              </w:tc>
              <w:tc>
                <w:tcPr>
                  <w:tcW w:w="2880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103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学生人员经费</w:t>
                  </w:r>
                </w:p>
              </w:tc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学生处、研究生院、教务处、职继学院、国际教育学院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104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行政公用经费</w:t>
                  </w:r>
                </w:p>
              </w:tc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各职能处室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111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本科生教学经费</w:t>
                  </w:r>
                </w:p>
              </w:tc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各院系、教务处、学生处、</w:t>
                  </w:r>
                </w:p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设备处、体育部、图书馆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112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研究生教学经费</w:t>
                  </w:r>
                </w:p>
              </w:tc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研究生院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114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科研业务经费</w:t>
                  </w:r>
                </w:p>
              </w:tc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各科研院所、科技处、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社科处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134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人才建设经费</w:t>
                  </w:r>
                </w:p>
              </w:tc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人力资源部、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高层次人才项目办公室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135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后勤保障经费</w:t>
                  </w:r>
                </w:p>
              </w:tc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后勤集团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restart"/>
                  <w:tcBorders>
                    <w:top w:val="nil"/>
                    <w:left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科研类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201</w:t>
                  </w:r>
                </w:p>
              </w:tc>
              <w:tc>
                <w:tcPr>
                  <w:tcW w:w="3121" w:type="dxa"/>
                  <w:vMerge w:val="restart"/>
                  <w:tcBorders>
                    <w:top w:val="nil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2"/>
                      <w:szCs w:val="22"/>
                    </w:rPr>
                    <w:t>纵向科研经费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nil"/>
                    <w:left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科技处、社科处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left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202</w:t>
                  </w:r>
                </w:p>
              </w:tc>
              <w:tc>
                <w:tcPr>
                  <w:tcW w:w="3121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vMerge w:val="continue"/>
                  <w:tcBorders>
                    <w:left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 w:hRule="atLeast"/>
              </w:trPr>
              <w:tc>
                <w:tcPr>
                  <w:tcW w:w="1519" w:type="dxa"/>
                  <w:vMerge w:val="continue"/>
                  <w:tcBorders>
                    <w:left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203</w:t>
                  </w:r>
                </w:p>
              </w:tc>
              <w:tc>
                <w:tcPr>
                  <w:tcW w:w="3121" w:type="dxa"/>
                  <w:vMerge w:val="continue"/>
                  <w:tcBorders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vMerge w:val="continue"/>
                  <w:tcBorders>
                    <w:left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 w:hRule="atLeast"/>
              </w:trPr>
              <w:tc>
                <w:tcPr>
                  <w:tcW w:w="1519" w:type="dxa"/>
                  <w:vMerge w:val="continue"/>
                  <w:tcBorders>
                    <w:left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206</w:t>
                  </w:r>
                </w:p>
              </w:tc>
              <w:tc>
                <w:tcPr>
                  <w:tcW w:w="312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横向科研项目</w:t>
                  </w:r>
                </w:p>
              </w:tc>
              <w:tc>
                <w:tcPr>
                  <w:tcW w:w="2880" w:type="dxa"/>
                  <w:vMerge w:val="continue"/>
                  <w:tcBorders>
                    <w:left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 w:hRule="atLeast"/>
              </w:trPr>
              <w:tc>
                <w:tcPr>
                  <w:tcW w:w="1519" w:type="dxa"/>
                  <w:vMerge w:val="continue"/>
                  <w:tcBorders>
                    <w:left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208</w:t>
                  </w:r>
                </w:p>
              </w:tc>
              <w:tc>
                <w:tcPr>
                  <w:tcW w:w="3121" w:type="dxa"/>
                  <w:vMerge w:val="continue"/>
                  <w:tcBorders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</w:p>
              </w:tc>
              <w:tc>
                <w:tcPr>
                  <w:tcW w:w="2880" w:type="dxa"/>
                  <w:vMerge w:val="continue"/>
                  <w:tcBorders>
                    <w:left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 w:hRule="atLeast"/>
              </w:trPr>
              <w:tc>
                <w:tcPr>
                  <w:tcW w:w="1519" w:type="dxa"/>
                  <w:vMerge w:val="continue"/>
                  <w:tcBorders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209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科研间接经费</w:t>
                  </w:r>
                </w:p>
              </w:tc>
              <w:tc>
                <w:tcPr>
                  <w:tcW w:w="2880" w:type="dxa"/>
                  <w:vMerge w:val="continue"/>
                  <w:tcBorders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专项类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331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教学质量工程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教务处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334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人才建设经费</w:t>
                  </w:r>
                </w:p>
              </w:tc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人力资源部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350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科研奖励</w:t>
                  </w:r>
                </w:p>
              </w:tc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科技处、社科处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389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专项池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各职能处室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360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双一流建设项目</w:t>
                  </w:r>
                </w:p>
              </w:tc>
              <w:tc>
                <w:tcPr>
                  <w:tcW w:w="28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361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省级重点学科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发展规划与学科建设处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362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哲社特色学科</w:t>
                  </w:r>
                </w:p>
              </w:tc>
              <w:tc>
                <w:tcPr>
                  <w:tcW w:w="288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363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双一流项目库经费</w:t>
                  </w:r>
                </w:p>
              </w:tc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各职能处室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基金类</w:t>
                  </w:r>
                </w:p>
              </w:tc>
              <w:tc>
                <w:tcPr>
                  <w:tcW w:w="129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601</w:t>
                  </w:r>
                </w:p>
              </w:tc>
              <w:tc>
                <w:tcPr>
                  <w:tcW w:w="312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学院基金</w:t>
                  </w:r>
                </w:p>
              </w:tc>
              <w:tc>
                <w:tcPr>
                  <w:tcW w:w="288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各院系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 w:hRule="atLeast"/>
              </w:trPr>
              <w:tc>
                <w:tcPr>
                  <w:tcW w:w="151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602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学生专用基金</w:t>
                  </w:r>
                </w:p>
              </w:tc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学生处、研究生院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restart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代管类</w:t>
                  </w:r>
                </w:p>
              </w:tc>
              <w:tc>
                <w:tcPr>
                  <w:tcW w:w="1299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702</w:t>
                  </w:r>
                </w:p>
              </w:tc>
              <w:tc>
                <w:tcPr>
                  <w:tcW w:w="3121" w:type="dxa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会议费</w:t>
                  </w:r>
                </w:p>
              </w:tc>
              <w:tc>
                <w:tcPr>
                  <w:tcW w:w="2880" w:type="dxa"/>
                  <w:vMerge w:val="restart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各院系部门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703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测试费</w:t>
                  </w:r>
                </w:p>
              </w:tc>
              <w:tc>
                <w:tcPr>
                  <w:tcW w:w="2880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704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代管部门帐</w:t>
                  </w:r>
                </w:p>
              </w:tc>
              <w:tc>
                <w:tcPr>
                  <w:tcW w:w="2880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705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代管社团帐</w:t>
                  </w:r>
                </w:p>
              </w:tc>
              <w:tc>
                <w:tcPr>
                  <w:tcW w:w="2880" w:type="dxa"/>
                  <w:vMerge w:val="continue"/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0" w:hRule="atLeast"/>
              </w:trPr>
              <w:tc>
                <w:tcPr>
                  <w:tcW w:w="1519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706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党费</w:t>
                  </w:r>
                </w:p>
              </w:tc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组织部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5" w:hRule="atLeast"/>
              </w:trPr>
              <w:tc>
                <w:tcPr>
                  <w:tcW w:w="1519" w:type="dxa"/>
                  <w:vMerge w:val="continue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709</w:t>
                  </w:r>
                </w:p>
              </w:tc>
              <w:tc>
                <w:tcPr>
                  <w:tcW w:w="312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财政代管专项</w:t>
                  </w:r>
                </w:p>
              </w:tc>
              <w:tc>
                <w:tcPr>
                  <w:tcW w:w="28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10" w:type="dxa"/>
                    <w:left w:w="10" w:type="dxa"/>
                    <w:right w:w="10" w:type="dxa"/>
                  </w:tcMar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ascii="宋体" w:hAnsi="宋体" w:eastAsia="宋体" w:cs="宋体"/>
                      <w:color w:val="00000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  <w:szCs w:val="22"/>
                      <w:lang w:bidi="ar"/>
                    </w:rPr>
                    <w:t>各院系部门</w:t>
                  </w:r>
                </w:p>
              </w:tc>
            </w:tr>
          </w:tbl>
          <w:p>
            <w:pPr>
              <w:widowControl/>
              <w:ind w:firstLine="9557" w:firstLineChars="3400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专项业务办理流程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BDD6EE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业务类型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办理流程</w:t>
            </w:r>
          </w:p>
        </w:tc>
        <w:tc>
          <w:tcPr>
            <w:tcW w:w="5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工程类报销</w:t>
            </w:r>
          </w:p>
        </w:tc>
        <w:tc>
          <w:tcPr>
            <w:tcW w:w="2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设备或家具类报销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（3万元以上）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进口设备购置借款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退工程质量保证金</w:t>
            </w:r>
          </w:p>
        </w:tc>
        <w:tc>
          <w:tcPr>
            <w:tcW w:w="2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退履约保证金</w:t>
            </w:r>
          </w:p>
        </w:tc>
        <w:tc>
          <w:tcPr>
            <w:tcW w:w="1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退装修押金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退住房押金</w:t>
            </w:r>
          </w:p>
        </w:tc>
        <w:tc>
          <w:tcPr>
            <w:tcW w:w="1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住房公积金业务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一次性结算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按进度结算</w:t>
            </w:r>
          </w:p>
        </w:tc>
        <w:tc>
          <w:tcPr>
            <w:tcW w:w="2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5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准备资料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（原件）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填写专项工程报销单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发票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工程结算审计意见书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西北大学（维修）工程类项目立项及实施申请表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工程中标通知函或工程招标记录单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工程验收记录单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工程合同（加盖西北大学合同专用章）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工程预算书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工程决算书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填写专项工程报销单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发票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工程价款结算单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工程款支付证书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工程进度报表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工程付款申请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西北大学（维修）工程类项目立项及实施申请表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工程中标通知函或工程招标记录单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工程合同（加盖西北大学合同专用章）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工程进度结算书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注：以上第3-9项资料需原件、复印件各一份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填写报销单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发票（附购置清单）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固定资产单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设备采购项目实施申请表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中标确认函或招标记录单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合同（加盖西北大学合同专用章）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验收记录单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10万以上家具购置还需审计意见书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填写借款单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设备采购项目实施申请表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西北大学贵重仪器设备需求申请论证报告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中标确认函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代理进口商品协议书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仪器设备购货技术合同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注：以上第2、5项资料需原件、复印件各一份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质保金退款申请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使用单位确认无误签字盖章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履约保证金收据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仪器设备验收单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设备处开具退款单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押金缴纳收据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物业验收合格单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押金缴纳收据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后勤房管科开具退房证明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打开“陕西省住房资金管理中心”官网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查询有关住房公积金提取、转移等相关业务办理流程（个人办理住房公积金提取业务无需单位盖章）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业务办理</w:t>
            </w:r>
          </w:p>
        </w:tc>
        <w:tc>
          <w:tcPr>
            <w:tcW w:w="11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前往财务处管理科工程审核人员处办理审核，审核后至报账大厅报销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前往报账大厅办理报销</w:t>
            </w:r>
          </w:p>
        </w:tc>
        <w:tc>
          <w:tcPr>
            <w:tcW w:w="3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前往财务处管理科办理退款登记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前往陕西省住房资金管理中心办理（西北一路52号）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C1A5D"/>
    <w:multiLevelType w:val="singleLevel"/>
    <w:tmpl w:val="7BFC1A5D"/>
    <w:lvl w:ilvl="0" w:tentative="0">
      <w:start w:val="1"/>
      <w:numFmt w:val="bullet"/>
      <w:lvlText w:val=""/>
      <w:lvlJc w:val="left"/>
      <w:pPr>
        <w:ind w:left="256" w:hanging="256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849DF"/>
    <w:rsid w:val="00175C81"/>
    <w:rsid w:val="003B7E49"/>
    <w:rsid w:val="009F2932"/>
    <w:rsid w:val="00B725A2"/>
    <w:rsid w:val="01E15A0A"/>
    <w:rsid w:val="03DE7A02"/>
    <w:rsid w:val="0A665B8F"/>
    <w:rsid w:val="0CD00FAB"/>
    <w:rsid w:val="0D3D47BA"/>
    <w:rsid w:val="18CE287C"/>
    <w:rsid w:val="19950FBB"/>
    <w:rsid w:val="1A1678F7"/>
    <w:rsid w:val="1C164AB8"/>
    <w:rsid w:val="1DD4335A"/>
    <w:rsid w:val="1DF64516"/>
    <w:rsid w:val="1FE42D87"/>
    <w:rsid w:val="20535296"/>
    <w:rsid w:val="20F93556"/>
    <w:rsid w:val="22B50962"/>
    <w:rsid w:val="23967E1F"/>
    <w:rsid w:val="253635AA"/>
    <w:rsid w:val="26315A6C"/>
    <w:rsid w:val="26B61122"/>
    <w:rsid w:val="27007F00"/>
    <w:rsid w:val="27882BC6"/>
    <w:rsid w:val="281F1A9F"/>
    <w:rsid w:val="28CD30ED"/>
    <w:rsid w:val="29C849DF"/>
    <w:rsid w:val="29E95F59"/>
    <w:rsid w:val="331B1549"/>
    <w:rsid w:val="33EF14B5"/>
    <w:rsid w:val="357A2A63"/>
    <w:rsid w:val="36373339"/>
    <w:rsid w:val="37296808"/>
    <w:rsid w:val="37FC28BC"/>
    <w:rsid w:val="3A897DC4"/>
    <w:rsid w:val="3AF1768E"/>
    <w:rsid w:val="3B521970"/>
    <w:rsid w:val="3B5D4070"/>
    <w:rsid w:val="3C132C58"/>
    <w:rsid w:val="3DB9725B"/>
    <w:rsid w:val="44FF070E"/>
    <w:rsid w:val="47C30BF8"/>
    <w:rsid w:val="519117B6"/>
    <w:rsid w:val="528E5EA7"/>
    <w:rsid w:val="5365204C"/>
    <w:rsid w:val="559316EB"/>
    <w:rsid w:val="56752B73"/>
    <w:rsid w:val="59F14EB5"/>
    <w:rsid w:val="5A5866D7"/>
    <w:rsid w:val="5A821BFB"/>
    <w:rsid w:val="5F8F2209"/>
    <w:rsid w:val="613727F2"/>
    <w:rsid w:val="63410A5F"/>
    <w:rsid w:val="662D2B5D"/>
    <w:rsid w:val="68A13CCD"/>
    <w:rsid w:val="69430A8D"/>
    <w:rsid w:val="69F23C5D"/>
    <w:rsid w:val="6C737634"/>
    <w:rsid w:val="70E30F91"/>
    <w:rsid w:val="73B3669F"/>
    <w:rsid w:val="743B0D20"/>
    <w:rsid w:val="747A603B"/>
    <w:rsid w:val="785F5D0A"/>
    <w:rsid w:val="78827A3A"/>
    <w:rsid w:val="7A0605E8"/>
    <w:rsid w:val="7E86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</Words>
  <Characters>1181</Characters>
  <Lines>9</Lines>
  <Paragraphs>2</Paragraphs>
  <TotalTime>39</TotalTime>
  <ScaleCrop>false</ScaleCrop>
  <LinksUpToDate>false</LinksUpToDate>
  <CharactersWithSpaces>1386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2020-01-06T02:27:00Z</dcterms:created>
  <dc:creator>Administrator</dc:creator>
  <cp:lastModifiedBy>yyy</cp:lastModifiedBy>
  <cp:lastPrinted>2020-01-09T06:46:00Z</cp:lastPrinted>
  <dcterms:modified xsi:type="dcterms:W3CDTF">2020-02-16T00:29:10Z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